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02664" w:rsidP="00702664" w14:paraId="37DD6353" w14:textId="7767D648">
      <w:pPr>
        <w:spacing w:after="0" w:line="480" w:lineRule="auto"/>
        <w:jc w:val="center"/>
        <w:rPr>
          <w:rFonts w:ascii="Times New Roman" w:hAnsi="Times New Roman" w:cs="Times New Roman"/>
          <w:sz w:val="24"/>
          <w:szCs w:val="24"/>
        </w:rPr>
      </w:pPr>
    </w:p>
    <w:p w:rsidR="00FC70B7" w:rsidP="00702664" w14:paraId="6594758D" w14:textId="0B6E838F">
      <w:pPr>
        <w:spacing w:after="0" w:line="480" w:lineRule="auto"/>
        <w:jc w:val="center"/>
        <w:rPr>
          <w:rFonts w:ascii="Times New Roman" w:hAnsi="Times New Roman" w:cs="Times New Roman"/>
          <w:sz w:val="24"/>
          <w:szCs w:val="24"/>
        </w:rPr>
      </w:pPr>
    </w:p>
    <w:p w:rsidR="00FC70B7" w:rsidP="00702664" w14:paraId="29B9B68E" w14:textId="549D2280">
      <w:pPr>
        <w:spacing w:after="0" w:line="480" w:lineRule="auto"/>
        <w:jc w:val="center"/>
        <w:rPr>
          <w:rFonts w:ascii="Times New Roman" w:hAnsi="Times New Roman" w:cs="Times New Roman"/>
          <w:sz w:val="24"/>
          <w:szCs w:val="24"/>
        </w:rPr>
      </w:pPr>
    </w:p>
    <w:p w:rsidR="00FC70B7" w:rsidP="00702664" w14:paraId="2B417C31" w14:textId="0A4628AA">
      <w:pPr>
        <w:spacing w:after="0" w:line="480" w:lineRule="auto"/>
        <w:jc w:val="center"/>
        <w:rPr>
          <w:rFonts w:ascii="Times New Roman" w:hAnsi="Times New Roman" w:cs="Times New Roman"/>
          <w:sz w:val="24"/>
          <w:szCs w:val="24"/>
        </w:rPr>
      </w:pPr>
    </w:p>
    <w:p w:rsidR="00FC70B7" w:rsidP="00702664" w14:paraId="4092B276" w14:textId="56D53541">
      <w:pPr>
        <w:spacing w:after="0" w:line="480" w:lineRule="auto"/>
        <w:jc w:val="center"/>
        <w:rPr>
          <w:rFonts w:ascii="Times New Roman" w:hAnsi="Times New Roman" w:cs="Times New Roman"/>
          <w:sz w:val="24"/>
          <w:szCs w:val="24"/>
        </w:rPr>
      </w:pPr>
    </w:p>
    <w:p w:rsidR="00FC70B7" w:rsidP="00702664" w14:paraId="4C68D707" w14:textId="6D0E0E44">
      <w:pPr>
        <w:spacing w:after="0" w:line="480" w:lineRule="auto"/>
        <w:jc w:val="center"/>
        <w:rPr>
          <w:rFonts w:ascii="Times New Roman" w:hAnsi="Times New Roman" w:cs="Times New Roman"/>
          <w:sz w:val="24"/>
          <w:szCs w:val="24"/>
        </w:rPr>
      </w:pPr>
    </w:p>
    <w:p w:rsidR="00FC70B7" w:rsidP="00702664" w14:paraId="4F464807" w14:textId="56462229">
      <w:pPr>
        <w:spacing w:after="0" w:line="480" w:lineRule="auto"/>
        <w:jc w:val="center"/>
        <w:rPr>
          <w:rFonts w:ascii="Times New Roman" w:hAnsi="Times New Roman" w:cs="Times New Roman"/>
          <w:sz w:val="24"/>
          <w:szCs w:val="24"/>
        </w:rPr>
      </w:pPr>
    </w:p>
    <w:p w:rsidR="00FC70B7" w:rsidRPr="00702664" w:rsidP="00702664" w14:paraId="5B997521" w14:textId="77777777">
      <w:pPr>
        <w:spacing w:after="0" w:line="480" w:lineRule="auto"/>
        <w:jc w:val="center"/>
        <w:rPr>
          <w:rFonts w:ascii="Times New Roman" w:hAnsi="Times New Roman" w:cs="Times New Roman"/>
          <w:sz w:val="24"/>
          <w:szCs w:val="24"/>
        </w:rPr>
      </w:pPr>
    </w:p>
    <w:p w:rsidR="00702664" w:rsidP="00702664" w14:paraId="43383E85" w14:textId="5749ED25">
      <w:pPr>
        <w:spacing w:after="0" w:line="480" w:lineRule="auto"/>
        <w:jc w:val="center"/>
        <w:rPr>
          <w:rFonts w:ascii="Times New Roman" w:hAnsi="Times New Roman" w:cs="Times New Roman"/>
          <w:sz w:val="24"/>
          <w:szCs w:val="24"/>
        </w:rPr>
      </w:pPr>
      <w:r w:rsidRPr="00702664">
        <w:rPr>
          <w:rFonts w:ascii="Times New Roman" w:hAnsi="Times New Roman" w:cs="Times New Roman"/>
          <w:sz w:val="24"/>
          <w:szCs w:val="24"/>
        </w:rPr>
        <w:t>Question</w:t>
      </w:r>
      <w:r w:rsidR="00FC70B7">
        <w:rPr>
          <w:rFonts w:ascii="Times New Roman" w:hAnsi="Times New Roman" w:cs="Times New Roman"/>
          <w:sz w:val="24"/>
          <w:szCs w:val="24"/>
        </w:rPr>
        <w:t>-</w:t>
      </w:r>
      <w:r w:rsidRPr="00702664">
        <w:rPr>
          <w:rFonts w:ascii="Times New Roman" w:hAnsi="Times New Roman" w:cs="Times New Roman"/>
          <w:sz w:val="24"/>
          <w:szCs w:val="24"/>
        </w:rPr>
        <w:t>Answer Assignment</w:t>
      </w:r>
    </w:p>
    <w:p w:rsidR="00702664" w:rsidP="00702664" w14:paraId="5FC3463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02664" w:rsidRPr="00702664" w:rsidP="00FC70B7" w14:paraId="4B6B7697" w14:textId="377960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C70B7">
        <w:rPr>
          <w:rFonts w:ascii="Times New Roman" w:hAnsi="Times New Roman" w:cs="Times New Roman"/>
          <w:sz w:val="24"/>
          <w:szCs w:val="24"/>
        </w:rPr>
        <w:t>s</w:t>
      </w:r>
    </w:p>
    <w:p w:rsidR="00FC70B7" w:rsidP="00702664" w14:paraId="5E3D378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02664" w:rsidRPr="00702664" w:rsidP="00702664" w14:paraId="74B16B93" w14:textId="08952F1E">
      <w:pPr>
        <w:spacing w:after="0" w:line="480" w:lineRule="auto"/>
        <w:jc w:val="center"/>
        <w:rPr>
          <w:rFonts w:ascii="Times New Roman" w:hAnsi="Times New Roman" w:cs="Times New Roman"/>
          <w:sz w:val="24"/>
          <w:szCs w:val="24"/>
        </w:rPr>
      </w:pPr>
      <w:r w:rsidRPr="00702664">
        <w:rPr>
          <w:rFonts w:ascii="Times New Roman" w:hAnsi="Times New Roman" w:cs="Times New Roman"/>
          <w:sz w:val="24"/>
          <w:szCs w:val="24"/>
        </w:rPr>
        <w:t>Question</w:t>
      </w:r>
      <w:r w:rsidR="00FC70B7">
        <w:rPr>
          <w:rFonts w:ascii="Times New Roman" w:hAnsi="Times New Roman" w:cs="Times New Roman"/>
          <w:sz w:val="24"/>
          <w:szCs w:val="24"/>
        </w:rPr>
        <w:t>-</w:t>
      </w:r>
      <w:r w:rsidRPr="00702664">
        <w:rPr>
          <w:rFonts w:ascii="Times New Roman" w:hAnsi="Times New Roman" w:cs="Times New Roman"/>
          <w:sz w:val="24"/>
          <w:szCs w:val="24"/>
        </w:rPr>
        <w:t>Answer Assignment</w:t>
      </w:r>
    </w:p>
    <w:p w:rsidR="00856045" w:rsidRPr="00B46E5A" w:rsidP="00B46E5A" w14:paraId="5578D5BF" w14:textId="185A591C">
      <w:pPr>
        <w:pStyle w:val="ListParagraph"/>
        <w:numPr>
          <w:ilvl w:val="0"/>
          <w:numId w:val="2"/>
        </w:numPr>
        <w:spacing w:after="0" w:line="480" w:lineRule="auto"/>
        <w:rPr>
          <w:rFonts w:ascii="Times New Roman" w:hAnsi="Times New Roman" w:cs="Times New Roman"/>
          <w:b/>
          <w:sz w:val="24"/>
          <w:szCs w:val="24"/>
        </w:rPr>
      </w:pPr>
      <w:r w:rsidRPr="00B46E5A">
        <w:rPr>
          <w:rFonts w:ascii="Times New Roman" w:hAnsi="Times New Roman" w:cs="Times New Roman"/>
          <w:b/>
          <w:sz w:val="24"/>
          <w:szCs w:val="24"/>
        </w:rPr>
        <w:t>Describe what it means to have strong, semi-strong and weak efficiency in providing financial information to investors. What are the implications from a corporate finance perspective?</w:t>
      </w:r>
    </w:p>
    <w:p w:rsidR="00856045" w:rsidRPr="00702664" w:rsidP="00702664" w14:paraId="17ACD73B" w14:textId="77777777">
      <w:pPr>
        <w:spacing w:after="0" w:line="480" w:lineRule="auto"/>
        <w:ind w:firstLine="720"/>
        <w:rPr>
          <w:rFonts w:ascii="Times New Roman" w:hAnsi="Times New Roman" w:cs="Times New Roman"/>
          <w:sz w:val="24"/>
          <w:szCs w:val="24"/>
        </w:rPr>
      </w:pPr>
      <w:r w:rsidRPr="00702664">
        <w:rPr>
          <w:rFonts w:ascii="Times New Roman" w:hAnsi="Times New Roman" w:cs="Times New Roman"/>
          <w:sz w:val="24"/>
          <w:szCs w:val="24"/>
        </w:rPr>
        <w:t xml:space="preserve">Weak efficiency refers to the fact that the market is efficient and provides all market information. This form of efficiency hypothesizes that the rates of return in the market should be independent. This means that past rates cannot have an effect on future rates. Semi-strong efficiency is based on all the publically available information. It means that the stock market is strong and stocks are adjusting quickly. Strong efficiency reflects both publically available and private information which incorporates both weak and semi-strong efficiency (Maverick, 2018). It suggests that an investor cannot make returns on investment that goes beyond the normal market returns. All this information is important to investors because it helps them make decisions regarding when to invest. </w:t>
      </w:r>
    </w:p>
    <w:p w:rsidR="00856045" w:rsidRPr="00B46E5A" w:rsidP="00B46E5A" w14:paraId="5CC9B9EA" w14:textId="367CD886">
      <w:pPr>
        <w:pStyle w:val="ListParagraph"/>
        <w:numPr>
          <w:ilvl w:val="0"/>
          <w:numId w:val="2"/>
        </w:numPr>
        <w:spacing w:after="0" w:line="480" w:lineRule="auto"/>
        <w:rPr>
          <w:rFonts w:ascii="Times New Roman" w:hAnsi="Times New Roman" w:cs="Times New Roman"/>
          <w:b/>
          <w:sz w:val="24"/>
          <w:szCs w:val="24"/>
        </w:rPr>
      </w:pPr>
      <w:r w:rsidRPr="00B46E5A">
        <w:rPr>
          <w:rFonts w:ascii="Times New Roman" w:hAnsi="Times New Roman" w:cs="Times New Roman"/>
          <w:b/>
          <w:sz w:val="24"/>
          <w:szCs w:val="24"/>
        </w:rPr>
        <w:t>Explain the relevance of market efficiency for financial managers.</w:t>
      </w:r>
    </w:p>
    <w:p w:rsidR="00856045" w:rsidRPr="00702664" w:rsidP="00702664" w14:paraId="41EE2AC9" w14:textId="77777777">
      <w:pPr>
        <w:spacing w:after="0" w:line="480" w:lineRule="auto"/>
        <w:ind w:firstLine="720"/>
        <w:rPr>
          <w:rFonts w:ascii="Times New Roman" w:hAnsi="Times New Roman" w:cs="Times New Roman"/>
          <w:sz w:val="24"/>
          <w:szCs w:val="24"/>
        </w:rPr>
      </w:pPr>
      <w:r w:rsidRPr="00702664">
        <w:rPr>
          <w:rFonts w:ascii="Times New Roman" w:hAnsi="Times New Roman" w:cs="Times New Roman"/>
          <w:sz w:val="24"/>
          <w:szCs w:val="24"/>
        </w:rPr>
        <w:t xml:space="preserve">Heakal (2013) defines market efficiency as the hypothesis that suggests that at any given time, prices reflect the available information in the given stock market. Therefore, market efficiency is used by investors to predict the market performance to enable them to improve their returns or avoid loses. According to Heakal (2013), in an efficient market, prices of stock become unpredictable but random. This can enable the investors to discern their investment patterns. However, it also helps to equalize the stock market so that no one would out-profit others (Heakal, 2013).  </w:t>
      </w:r>
    </w:p>
    <w:p w:rsidR="00856045" w:rsidRPr="00B46E5A" w:rsidP="00B46E5A" w14:paraId="68EC469F" w14:textId="0A0A5BA0">
      <w:pPr>
        <w:pStyle w:val="ListParagraph"/>
        <w:numPr>
          <w:ilvl w:val="0"/>
          <w:numId w:val="2"/>
        </w:numPr>
        <w:spacing w:after="0" w:line="480" w:lineRule="auto"/>
        <w:rPr>
          <w:rFonts w:ascii="Times New Roman" w:hAnsi="Times New Roman" w:cs="Times New Roman"/>
          <w:b/>
          <w:sz w:val="24"/>
          <w:szCs w:val="24"/>
        </w:rPr>
      </w:pPr>
      <w:r w:rsidRPr="00B46E5A">
        <w:rPr>
          <w:rFonts w:ascii="Times New Roman" w:hAnsi="Times New Roman" w:cs="Times New Roman"/>
          <w:b/>
          <w:sz w:val="24"/>
          <w:szCs w:val="24"/>
        </w:rPr>
        <w:t>What impact does leverage have on earnings per share and corporate taxes?</w:t>
      </w:r>
    </w:p>
    <w:p w:rsidR="00856045" w:rsidRPr="00702664" w:rsidP="00702664" w14:paraId="4B5E274A" w14:textId="77777777">
      <w:pPr>
        <w:spacing w:after="0" w:line="480" w:lineRule="auto"/>
        <w:ind w:firstLine="720"/>
        <w:rPr>
          <w:rFonts w:ascii="Times New Roman" w:hAnsi="Times New Roman" w:cs="Times New Roman"/>
          <w:sz w:val="24"/>
          <w:szCs w:val="24"/>
        </w:rPr>
      </w:pPr>
      <w:r w:rsidRPr="00702664">
        <w:rPr>
          <w:rFonts w:ascii="Times New Roman" w:hAnsi="Times New Roman" w:cs="Times New Roman"/>
          <w:sz w:val="24"/>
          <w:szCs w:val="24"/>
        </w:rPr>
        <w:t xml:space="preserve">Nickolas (2015) explains that the degree of financial leverage determines the percentage change in the organization’s earnings per share. According to the author, companies use a degree of financial leverage to determine the sensitivity of the firm’s earning per share when the company experiences a change in its earnings before the taxes (Nickolas, 2015). In this case, when the company records high degree financial leverage, it means that the firm has high-interest payments. However, such kind of high level of interest payments means that the firm will have low earning per share. </w:t>
      </w:r>
    </w:p>
    <w:p w:rsidR="00856045" w:rsidRPr="00B46E5A" w:rsidP="00B46E5A" w14:paraId="76162070" w14:textId="056112F0">
      <w:pPr>
        <w:pStyle w:val="ListParagraph"/>
        <w:numPr>
          <w:ilvl w:val="0"/>
          <w:numId w:val="2"/>
        </w:numPr>
        <w:spacing w:after="0" w:line="480" w:lineRule="auto"/>
        <w:rPr>
          <w:rFonts w:ascii="Times New Roman" w:hAnsi="Times New Roman" w:cs="Times New Roman"/>
          <w:b/>
          <w:sz w:val="24"/>
          <w:szCs w:val="24"/>
        </w:rPr>
      </w:pPr>
      <w:r w:rsidRPr="00B46E5A">
        <w:rPr>
          <w:rFonts w:ascii="Times New Roman" w:hAnsi="Times New Roman" w:cs="Times New Roman"/>
          <w:b/>
          <w:sz w:val="24"/>
          <w:szCs w:val="24"/>
        </w:rPr>
        <w:t>Describe the impact of corporate taxes on the weighted average cost of capital.</w:t>
      </w:r>
    </w:p>
    <w:p w:rsidR="00856045" w:rsidRPr="00702664" w:rsidP="00702664" w14:paraId="49E771BB" w14:textId="77777777">
      <w:pPr>
        <w:spacing w:after="0" w:line="480" w:lineRule="auto"/>
        <w:ind w:firstLine="720"/>
        <w:rPr>
          <w:rFonts w:ascii="Times New Roman" w:hAnsi="Times New Roman" w:cs="Times New Roman"/>
          <w:sz w:val="24"/>
          <w:szCs w:val="24"/>
        </w:rPr>
      </w:pPr>
      <w:r w:rsidRPr="00702664">
        <w:rPr>
          <w:rFonts w:ascii="Times New Roman" w:hAnsi="Times New Roman" w:cs="Times New Roman"/>
          <w:sz w:val="24"/>
          <w:szCs w:val="24"/>
        </w:rPr>
        <w:t xml:space="preserve">Organizations rely on two financial sources to finance their projects. The two sources include the owner’s money known as equity financing and the borrowed money known as debt financing. According to Merritt (2018), each of these types of financing sources has cost impacts on the business. However, what is certain in both aspects is that any change in the tax rate will definitely affect the weighted average cost of capital, especially when the company pays corporate taxes. </w:t>
      </w:r>
    </w:p>
    <w:p w:rsidR="00856045" w:rsidRPr="00B46E5A" w:rsidP="00B46E5A" w14:paraId="4F02F550" w14:textId="10632C68">
      <w:pPr>
        <w:pStyle w:val="ListParagraph"/>
        <w:numPr>
          <w:ilvl w:val="0"/>
          <w:numId w:val="2"/>
        </w:numPr>
        <w:spacing w:after="0" w:line="480" w:lineRule="auto"/>
        <w:rPr>
          <w:rFonts w:ascii="Times New Roman" w:hAnsi="Times New Roman" w:cs="Times New Roman"/>
          <w:b/>
          <w:sz w:val="24"/>
          <w:szCs w:val="24"/>
        </w:rPr>
      </w:pPr>
      <w:r w:rsidRPr="00B46E5A">
        <w:rPr>
          <w:rFonts w:ascii="Times New Roman" w:hAnsi="Times New Roman" w:cs="Times New Roman"/>
          <w:b/>
          <w:sz w:val="24"/>
          <w:szCs w:val="24"/>
        </w:rPr>
        <w:t>What are examples of indirect and direct costs in bankruptcy?</w:t>
      </w:r>
    </w:p>
    <w:p w:rsidR="00856045" w:rsidRPr="00702664" w:rsidP="00702664" w14:paraId="3F89EADC" w14:textId="462C8C1E">
      <w:pPr>
        <w:spacing w:after="0" w:line="480" w:lineRule="auto"/>
        <w:ind w:firstLine="720"/>
        <w:rPr>
          <w:rFonts w:ascii="Times New Roman" w:hAnsi="Times New Roman" w:cs="Times New Roman"/>
          <w:sz w:val="24"/>
          <w:szCs w:val="24"/>
        </w:rPr>
      </w:pPr>
      <w:r w:rsidRPr="00702664">
        <w:rPr>
          <w:rFonts w:ascii="Times New Roman" w:hAnsi="Times New Roman" w:cs="Times New Roman"/>
          <w:sz w:val="24"/>
          <w:szCs w:val="24"/>
        </w:rPr>
        <w:t xml:space="preserve">Direct bankruptcy costs refer to the costs incurred </w:t>
      </w:r>
      <w:r w:rsidR="003513FF">
        <w:rPr>
          <w:rFonts w:ascii="Times New Roman" w:hAnsi="Times New Roman" w:cs="Times New Roman"/>
          <w:sz w:val="24"/>
          <w:szCs w:val="24"/>
        </w:rPr>
        <w:t>in the process of</w:t>
      </w:r>
      <w:r w:rsidRPr="00702664">
        <w:rPr>
          <w:rFonts w:ascii="Times New Roman" w:hAnsi="Times New Roman" w:cs="Times New Roman"/>
          <w:sz w:val="24"/>
          <w:szCs w:val="24"/>
        </w:rPr>
        <w:t xml:space="preserve"> avoiding bankruptcy. For example, the cost for hiring and paying for the services of a bankruptcy attorney to help in the legal proceedings and fees involved in filing the bankruptcy are some of the direct costs incurred in bankruptcy. Some of the indirect bankruptcy costs that can be incurred by a company include the loss of revenue, goodwill, and loss of opportunities (Luben, 2012). </w:t>
      </w:r>
    </w:p>
    <w:p w:rsidR="00856045" w:rsidRPr="00B46E5A" w:rsidP="00B46E5A" w14:paraId="2903C9DF" w14:textId="3632646F">
      <w:pPr>
        <w:pStyle w:val="ListParagraph"/>
        <w:numPr>
          <w:ilvl w:val="0"/>
          <w:numId w:val="2"/>
        </w:numPr>
        <w:spacing w:after="0" w:line="480" w:lineRule="auto"/>
        <w:rPr>
          <w:rFonts w:ascii="Times New Roman" w:hAnsi="Times New Roman" w:cs="Times New Roman"/>
          <w:b/>
          <w:sz w:val="24"/>
          <w:szCs w:val="24"/>
        </w:rPr>
      </w:pPr>
      <w:r w:rsidRPr="00B46E5A">
        <w:rPr>
          <w:rFonts w:ascii="Times New Roman" w:hAnsi="Times New Roman" w:cs="Times New Roman"/>
          <w:b/>
          <w:sz w:val="24"/>
          <w:szCs w:val="24"/>
        </w:rPr>
        <w:t>Explain how leverage can improve returns to the shareholders.</w:t>
      </w:r>
    </w:p>
    <w:p w:rsidR="00856045" w:rsidRPr="00702664" w:rsidP="00702664" w14:paraId="11644296" w14:textId="77777777">
      <w:pPr>
        <w:spacing w:after="0" w:line="480" w:lineRule="auto"/>
        <w:ind w:firstLine="720"/>
        <w:rPr>
          <w:rFonts w:ascii="Times New Roman" w:hAnsi="Times New Roman" w:cs="Times New Roman"/>
          <w:sz w:val="24"/>
          <w:szCs w:val="24"/>
        </w:rPr>
      </w:pPr>
      <w:r w:rsidRPr="00702664">
        <w:rPr>
          <w:rFonts w:ascii="Times New Roman" w:hAnsi="Times New Roman" w:cs="Times New Roman"/>
          <w:sz w:val="24"/>
          <w:szCs w:val="24"/>
        </w:rPr>
        <w:t xml:space="preserve">Financial leverage has two primary functions; for instance, enhanced earnings and favourable tax treatment (Accounting Tools, 2017). According to Accounting Tools (2017), </w:t>
      </w:r>
      <w:r w:rsidRPr="00702664">
        <w:rPr>
          <w:rFonts w:ascii="Times New Roman" w:hAnsi="Times New Roman" w:cs="Times New Roman"/>
          <w:sz w:val="24"/>
          <w:szCs w:val="24"/>
        </w:rPr>
        <w:t xml:space="preserve">financial leverage provides the possibility of disproportionate loses that can be incurred in the process of investment, which can result in increased interest rates and reduction in returns of investment. With such information, a shareholder can make the right decisions on whether to sell his or her shares or invest more in the business.  </w:t>
      </w:r>
    </w:p>
    <w:p w:rsidR="00856045" w:rsidRPr="00B46E5A" w:rsidP="00B46E5A" w14:paraId="4E5B2E69" w14:textId="04B1CA03">
      <w:pPr>
        <w:pStyle w:val="ListParagraph"/>
        <w:numPr>
          <w:ilvl w:val="0"/>
          <w:numId w:val="2"/>
        </w:numPr>
        <w:spacing w:after="0" w:line="480" w:lineRule="auto"/>
        <w:rPr>
          <w:rFonts w:ascii="Times New Roman" w:hAnsi="Times New Roman" w:cs="Times New Roman"/>
          <w:b/>
          <w:sz w:val="24"/>
          <w:szCs w:val="24"/>
        </w:rPr>
      </w:pPr>
      <w:r w:rsidRPr="00B46E5A">
        <w:rPr>
          <w:rFonts w:ascii="Times New Roman" w:hAnsi="Times New Roman" w:cs="Times New Roman"/>
          <w:b/>
          <w:sz w:val="24"/>
          <w:szCs w:val="24"/>
        </w:rPr>
        <w:t>Describe agency costs and the impact on bondholders.</w:t>
      </w:r>
    </w:p>
    <w:p w:rsidR="00856045" w:rsidRPr="00702664" w:rsidP="00702664" w14:paraId="1B105BA5" w14:textId="77777777">
      <w:pPr>
        <w:spacing w:after="0" w:line="480" w:lineRule="auto"/>
        <w:ind w:firstLine="720"/>
        <w:rPr>
          <w:rFonts w:ascii="Times New Roman" w:hAnsi="Times New Roman" w:cs="Times New Roman"/>
          <w:sz w:val="24"/>
          <w:szCs w:val="24"/>
        </w:rPr>
      </w:pPr>
      <w:r w:rsidRPr="00702664">
        <w:rPr>
          <w:rFonts w:ascii="Times New Roman" w:hAnsi="Times New Roman" w:cs="Times New Roman"/>
          <w:sz w:val="24"/>
          <w:szCs w:val="24"/>
        </w:rPr>
        <w:t xml:space="preserve">Agency cost is a problem that emanates from the conflict of interest in the separation of management from ownership in a publically-owned firm. In most cases, this problem is reduced through established boards of directors and issuance of debt. There are three main parties involve in an agency cost of the debt situation, owners, managers, and bondholders. However, the impact of this problem on bondholders is that it can result in risky investment due to the risks associated with management actions in an attempt to seek a high return. </w:t>
      </w:r>
      <w:bookmarkStart w:id="0" w:name="_GoBack"/>
      <w:bookmarkEnd w:id="0"/>
    </w:p>
    <w:p w:rsidR="00856045" w:rsidRPr="00B46E5A" w:rsidP="00B46E5A" w14:paraId="5D989930" w14:textId="4BE25B94">
      <w:pPr>
        <w:pStyle w:val="ListParagraph"/>
        <w:numPr>
          <w:ilvl w:val="0"/>
          <w:numId w:val="2"/>
        </w:numPr>
        <w:spacing w:after="0" w:line="480" w:lineRule="auto"/>
        <w:rPr>
          <w:rFonts w:ascii="Times New Roman" w:hAnsi="Times New Roman" w:cs="Times New Roman"/>
          <w:b/>
          <w:sz w:val="24"/>
          <w:szCs w:val="24"/>
        </w:rPr>
      </w:pPr>
      <w:r w:rsidRPr="00B46E5A">
        <w:rPr>
          <w:rFonts w:ascii="Times New Roman" w:hAnsi="Times New Roman" w:cs="Times New Roman"/>
          <w:b/>
          <w:sz w:val="24"/>
          <w:szCs w:val="24"/>
        </w:rPr>
        <w:t>Explain the application and implications of the pecking-order theory.</w:t>
      </w:r>
    </w:p>
    <w:p w:rsidR="00702664" w:rsidP="0079782C" w14:paraId="3B855A02" w14:textId="1A9BB77D">
      <w:pPr>
        <w:spacing w:after="0" w:line="480" w:lineRule="auto"/>
        <w:ind w:firstLine="720"/>
        <w:rPr>
          <w:rFonts w:ascii="Times New Roman" w:hAnsi="Times New Roman" w:cs="Times New Roman"/>
          <w:sz w:val="24"/>
          <w:szCs w:val="24"/>
        </w:rPr>
      </w:pPr>
      <w:r w:rsidRPr="00702664">
        <w:rPr>
          <w:rFonts w:ascii="Times New Roman" w:hAnsi="Times New Roman" w:cs="Times New Roman"/>
          <w:sz w:val="24"/>
          <w:szCs w:val="24"/>
        </w:rPr>
        <w:t>For pecking order theorists, there is no target capital structure. Therefore, companies select capitals based on internal finance, debt, and equity preference order. According to de Jong et al. (2007), large firms that use pecking-order theory find it easy to incorporate their debt capacities. Pecking order theory can be applied in determining the financial surpluses, normal deficits, and large deficits in the business. The implications of this theory in the business context include better financial behaviour, which is associated with the financial success of large firms.
</w:t>
      </w:r>
    </w:p>
    <w:p w:rsidR="0079782C" w:rsidP="00702664" w14:paraId="48A61F8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02664" w:rsidP="00702664" w14:paraId="05DAC9A9" w14:textId="033FFB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02664" w:rsidRPr="00BE682C" w:rsidP="00702664" w14:paraId="3576FE16"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Accounting Too</w:t>
      </w:r>
      <w:r w:rsidRPr="00BE682C">
        <w:rPr>
          <w:rFonts w:ascii="Times New Roman" w:hAnsi="Times New Roman" w:cs="Times New Roman"/>
          <w:sz w:val="24"/>
          <w:szCs w:val="24"/>
        </w:rPr>
        <w:t xml:space="preserve">ls. (2017, December 20). Financial Leverage. </w:t>
      </w:r>
      <w:r w:rsidRPr="00BE682C">
        <w:rPr>
          <w:rFonts w:ascii="Times New Roman" w:hAnsi="Times New Roman" w:cs="Times New Roman"/>
          <w:i/>
          <w:sz w:val="24"/>
          <w:szCs w:val="24"/>
        </w:rPr>
        <w:t>Accounting Tools.</w:t>
      </w:r>
      <w:r w:rsidRPr="00BE682C">
        <w:rPr>
          <w:rFonts w:ascii="Times New Roman" w:hAnsi="Times New Roman" w:cs="Times New Roman"/>
          <w:sz w:val="24"/>
          <w:szCs w:val="24"/>
        </w:rPr>
        <w:t xml:space="preserve"> Retrieved from https://www.accountingtools.com/articles/2017/5/14/financial-leverage</w:t>
      </w:r>
    </w:p>
    <w:p w:rsidR="00702664" w:rsidRPr="00BE682C" w:rsidP="00702664" w14:paraId="30FE537B" w14:textId="77777777">
      <w:pPr>
        <w:spacing w:after="0" w:line="480" w:lineRule="auto"/>
        <w:ind w:left="720" w:hanging="720"/>
        <w:rPr>
          <w:rFonts w:ascii="Times New Roman" w:hAnsi="Times New Roman" w:cs="Times New Roman"/>
          <w:sz w:val="24"/>
          <w:szCs w:val="24"/>
          <w:shd w:val="clear" w:color="auto" w:fill="FFFFFF"/>
        </w:rPr>
      </w:pPr>
      <w:r w:rsidRPr="00BE682C">
        <w:rPr>
          <w:rFonts w:ascii="Times New Roman" w:hAnsi="Times New Roman" w:cs="Times New Roman"/>
          <w:sz w:val="24"/>
          <w:szCs w:val="24"/>
          <w:shd w:val="clear" w:color="auto" w:fill="FFFFFF"/>
        </w:rPr>
        <w:t xml:space="preserve">de Jong, A., Verbeek, M., &amp; Verwijmeren, P. (2007). Testing the pecking order theory: the impact of financing surpluses and large financing deficits. </w:t>
      </w:r>
      <w:r w:rsidRPr="00BE682C">
        <w:rPr>
          <w:rFonts w:ascii="Times New Roman" w:hAnsi="Times New Roman" w:cs="Times New Roman"/>
          <w:i/>
          <w:sz w:val="24"/>
          <w:szCs w:val="24"/>
          <w:shd w:val="clear" w:color="auto" w:fill="FFFFFF"/>
        </w:rPr>
        <w:t>Erasmus University, Rotterdam, the Netherlands.</w:t>
      </w:r>
      <w:r w:rsidRPr="00BE682C">
        <w:rPr>
          <w:rFonts w:ascii="Times New Roman" w:hAnsi="Times New Roman" w:cs="Times New Roman"/>
          <w:sz w:val="24"/>
          <w:szCs w:val="24"/>
          <w:shd w:val="clear" w:color="auto" w:fill="FFFFFF"/>
        </w:rPr>
        <w:t xml:space="preserve"> Retrieved from https://core.ac.uk/download/pdf/18511759.pdf</w:t>
      </w:r>
    </w:p>
    <w:p w:rsidR="00702664" w:rsidRPr="00BE682C" w:rsidP="00702664" w14:paraId="27D56615" w14:textId="77777777">
      <w:pPr>
        <w:spacing w:after="0" w:line="480" w:lineRule="auto"/>
        <w:ind w:left="720" w:hanging="720"/>
        <w:rPr>
          <w:rFonts w:ascii="Times New Roman" w:hAnsi="Times New Roman" w:cs="Times New Roman"/>
          <w:sz w:val="24"/>
          <w:szCs w:val="24"/>
        </w:rPr>
      </w:pPr>
      <w:r w:rsidRPr="00BE682C">
        <w:rPr>
          <w:rFonts w:ascii="Times New Roman" w:hAnsi="Times New Roman" w:cs="Times New Roman"/>
          <w:sz w:val="24"/>
          <w:szCs w:val="24"/>
        </w:rPr>
        <w:t xml:space="preserve">Heakal, R. (2013, November 1). What is Market Efficiency? </w:t>
      </w:r>
      <w:r w:rsidRPr="00BE682C">
        <w:rPr>
          <w:rFonts w:ascii="Times New Roman" w:hAnsi="Times New Roman" w:cs="Times New Roman"/>
          <w:i/>
          <w:sz w:val="24"/>
          <w:szCs w:val="24"/>
        </w:rPr>
        <w:t>Forbes</w:t>
      </w:r>
      <w:r w:rsidRPr="00BE682C">
        <w:rPr>
          <w:rFonts w:ascii="Times New Roman" w:hAnsi="Times New Roman" w:cs="Times New Roman"/>
          <w:sz w:val="24"/>
          <w:szCs w:val="24"/>
        </w:rPr>
        <w:t>. Retrieved from https://www.forbes.com/sites/investopedia/2013/11/01/what-is-market-efficiency/#60feeffb1d2d</w:t>
      </w:r>
    </w:p>
    <w:p w:rsidR="00702664" w:rsidRPr="00BE682C" w:rsidP="00702664" w14:paraId="40BA09A6" w14:textId="77777777">
      <w:pPr>
        <w:shd w:val="clear" w:color="auto" w:fill="FFFFFF"/>
        <w:spacing w:after="0" w:line="480" w:lineRule="auto"/>
        <w:ind w:left="720" w:hanging="720"/>
        <w:outlineLvl w:val="0"/>
        <w:rPr>
          <w:rFonts w:ascii="Times New Roman" w:eastAsia="Times New Roman" w:hAnsi="Times New Roman" w:cs="Times New Roman"/>
          <w:b/>
          <w:bCs/>
          <w:kern w:val="36"/>
          <w:sz w:val="24"/>
          <w:szCs w:val="24"/>
          <w:lang w:val="en-GB" w:eastAsia="en-GB"/>
        </w:rPr>
      </w:pPr>
      <w:r w:rsidRPr="00BE682C">
        <w:rPr>
          <w:rFonts w:ascii="Times New Roman" w:hAnsi="Times New Roman" w:cs="Times New Roman"/>
          <w:sz w:val="24"/>
          <w:szCs w:val="24"/>
        </w:rPr>
        <w:t xml:space="preserve">Luben, J. S. (2012, October 2). </w:t>
      </w:r>
      <w:r w:rsidRPr="00BE682C">
        <w:rPr>
          <w:rFonts w:ascii="Times New Roman" w:eastAsia="Times New Roman" w:hAnsi="Times New Roman" w:cs="Times New Roman"/>
          <w:bCs/>
          <w:kern w:val="36"/>
          <w:sz w:val="24"/>
          <w:szCs w:val="24"/>
          <w:lang w:val="en-GB" w:eastAsia="en-GB"/>
        </w:rPr>
        <w:t xml:space="preserve">The Intangible Costs of Bankruptcies. </w:t>
      </w:r>
      <w:r w:rsidRPr="00BE682C">
        <w:rPr>
          <w:rFonts w:ascii="Times New Roman" w:eastAsia="Times New Roman" w:hAnsi="Times New Roman" w:cs="Times New Roman"/>
          <w:bCs/>
          <w:i/>
          <w:kern w:val="36"/>
          <w:sz w:val="24"/>
          <w:szCs w:val="24"/>
          <w:lang w:val="en-GB" w:eastAsia="en-GB"/>
        </w:rPr>
        <w:t>The New York Times.</w:t>
      </w:r>
      <w:r w:rsidRPr="00BE682C">
        <w:rPr>
          <w:rFonts w:ascii="Times New Roman" w:eastAsia="Times New Roman" w:hAnsi="Times New Roman" w:cs="Times New Roman"/>
          <w:bCs/>
          <w:kern w:val="36"/>
          <w:sz w:val="24"/>
          <w:szCs w:val="24"/>
          <w:lang w:val="en-GB" w:eastAsia="en-GB"/>
        </w:rPr>
        <w:t xml:space="preserve"> Retrieved from https://dealbook.nytimes.com/2012/10/02/the-intangible-costs-of-bankruptcies/?mtrref=www.google.com&amp;gwh=780A5F92A9815040F3F534D7BE57FDCE&amp;gwt=pay</w:t>
      </w:r>
    </w:p>
    <w:p w:rsidR="00702664" w:rsidRPr="00BE682C" w:rsidP="00702664" w14:paraId="3C10ECDD" w14:textId="77777777">
      <w:pPr>
        <w:spacing w:after="0" w:line="480" w:lineRule="auto"/>
        <w:ind w:left="720" w:hanging="720"/>
        <w:rPr>
          <w:rFonts w:ascii="Times New Roman" w:hAnsi="Times New Roman" w:cs="Times New Roman"/>
          <w:sz w:val="24"/>
          <w:szCs w:val="24"/>
        </w:rPr>
      </w:pPr>
      <w:r w:rsidRPr="00BE682C">
        <w:rPr>
          <w:rFonts w:ascii="Times New Roman" w:hAnsi="Times New Roman" w:cs="Times New Roman"/>
          <w:sz w:val="24"/>
          <w:szCs w:val="24"/>
        </w:rPr>
        <w:t xml:space="preserve">Maverick, J. B. (2018, November 4). The Weak, Strong, and Semi-Strong Efficient Market Hypothesis. </w:t>
      </w:r>
      <w:r w:rsidRPr="00BE682C">
        <w:rPr>
          <w:rFonts w:ascii="Times New Roman" w:hAnsi="Times New Roman" w:cs="Times New Roman"/>
          <w:i/>
          <w:sz w:val="24"/>
          <w:szCs w:val="24"/>
        </w:rPr>
        <w:t>Investopedia.</w:t>
      </w:r>
      <w:r w:rsidRPr="00BE682C">
        <w:rPr>
          <w:rFonts w:ascii="Times New Roman" w:hAnsi="Times New Roman" w:cs="Times New Roman"/>
          <w:sz w:val="24"/>
          <w:szCs w:val="24"/>
        </w:rPr>
        <w:t xml:space="preserve"> Retrieved from </w:t>
      </w:r>
      <w:hyperlink r:id="rId4" w:history="1">
        <w:r w:rsidRPr="00BE682C">
          <w:rPr>
            <w:rStyle w:val="Hyperlink"/>
            <w:rFonts w:ascii="Times New Roman" w:hAnsi="Times New Roman" w:cs="Times New Roman"/>
            <w:color w:val="auto"/>
            <w:sz w:val="24"/>
            <w:szCs w:val="24"/>
            <w:u w:val="none"/>
          </w:rPr>
          <w:t>https://www.investopedia.com/ask/answers/032615/what-are-differences-between-weak-strong-and-semistrong-versions-efficient-market-hypothesis.asp</w:t>
        </w:r>
      </w:hyperlink>
    </w:p>
    <w:p w:rsidR="00702664" w:rsidRPr="00BE682C" w:rsidP="00702664" w14:paraId="705B9FAB" w14:textId="112A0BF3">
      <w:pPr>
        <w:spacing w:after="0" w:line="480" w:lineRule="auto"/>
        <w:ind w:left="720" w:hanging="720"/>
        <w:rPr>
          <w:rFonts w:ascii="Times New Roman" w:hAnsi="Times New Roman" w:cs="Times New Roman"/>
          <w:sz w:val="24"/>
          <w:szCs w:val="24"/>
        </w:rPr>
      </w:pPr>
      <w:r w:rsidRPr="00BE682C">
        <w:rPr>
          <w:rFonts w:ascii="Times New Roman" w:hAnsi="Times New Roman" w:cs="Times New Roman"/>
          <w:sz w:val="24"/>
          <w:szCs w:val="24"/>
        </w:rPr>
        <w:t xml:space="preserve">Merritt, C. (2018). How does the Corporate Tax Rate affect </w:t>
      </w:r>
      <w:r w:rsidRPr="00BE682C" w:rsidR="00C8386E">
        <w:rPr>
          <w:rFonts w:ascii="Times New Roman" w:hAnsi="Times New Roman" w:cs="Times New Roman"/>
          <w:sz w:val="24"/>
          <w:szCs w:val="24"/>
        </w:rPr>
        <w:t>WACC?</w:t>
      </w:r>
      <w:r w:rsidRPr="00BE682C">
        <w:rPr>
          <w:rFonts w:ascii="Times New Roman" w:hAnsi="Times New Roman" w:cs="Times New Roman"/>
          <w:sz w:val="24"/>
          <w:szCs w:val="24"/>
        </w:rPr>
        <w:t xml:space="preserve"> </w:t>
      </w:r>
      <w:r w:rsidRPr="00BE682C">
        <w:rPr>
          <w:rFonts w:ascii="Times New Roman" w:hAnsi="Times New Roman" w:cs="Times New Roman"/>
          <w:i/>
          <w:sz w:val="24"/>
          <w:szCs w:val="24"/>
        </w:rPr>
        <w:t>Chron.</w:t>
      </w:r>
      <w:r w:rsidRPr="00BE682C">
        <w:rPr>
          <w:rFonts w:ascii="Times New Roman" w:hAnsi="Times New Roman" w:cs="Times New Roman"/>
          <w:sz w:val="24"/>
          <w:szCs w:val="24"/>
        </w:rPr>
        <w:t xml:space="preserve"> Retrieved from https://smallbusiness.chron.com/corporate-tax-rate-affect-wacc-64507.html</w:t>
      </w:r>
    </w:p>
    <w:p w:rsidR="00702664" w:rsidRPr="0079782C" w:rsidP="0079782C" w14:paraId="1EB218BE" w14:textId="2814E43A">
      <w:pPr>
        <w:spacing w:after="0" w:line="480" w:lineRule="auto"/>
        <w:ind w:left="720" w:hanging="720"/>
        <w:rPr>
          <w:rFonts w:ascii="Times New Roman" w:eastAsia="Times New Roman" w:hAnsi="Times New Roman" w:cs="Times New Roman"/>
          <w:sz w:val="24"/>
          <w:szCs w:val="24"/>
          <w:lang w:val="en-GB" w:eastAsia="en-GB"/>
        </w:rPr>
      </w:pPr>
      <w:r w:rsidRPr="00BE682C">
        <w:rPr>
          <w:rFonts w:ascii="Times New Roman" w:hAnsi="Times New Roman" w:cs="Times New Roman"/>
          <w:sz w:val="24"/>
          <w:szCs w:val="24"/>
        </w:rPr>
        <w:t xml:space="preserve">Nickolas, S. (2015, June 22). How does degree of financial leverage (DFL) affect earnings per share (EPS). </w:t>
      </w:r>
      <w:r w:rsidRPr="00BE682C">
        <w:rPr>
          <w:rFonts w:ascii="Times New Roman" w:hAnsi="Times New Roman" w:cs="Times New Roman"/>
          <w:i/>
          <w:sz w:val="24"/>
          <w:szCs w:val="24"/>
        </w:rPr>
        <w:t>Investopedia.</w:t>
      </w:r>
      <w:r w:rsidRPr="00BE682C">
        <w:rPr>
          <w:rFonts w:ascii="Times New Roman" w:hAnsi="Times New Roman" w:cs="Times New Roman"/>
          <w:sz w:val="24"/>
          <w:szCs w:val="24"/>
        </w:rPr>
        <w:t xml:space="preserve"> Retrieved from </w:t>
      </w:r>
      <w:hyperlink r:id="rId5" w:history="1">
        <w:r w:rsidRPr="00BE682C">
          <w:rPr>
            <w:rStyle w:val="Hyperlink"/>
            <w:rFonts w:ascii="Times New Roman" w:hAnsi="Times New Roman" w:cs="Times New Roman"/>
            <w:color w:val="auto"/>
            <w:sz w:val="24"/>
            <w:szCs w:val="24"/>
            <w:u w:val="none"/>
          </w:rPr>
          <w:t>https://www.investopedia.com/ask/answers/062215/how-does-degree-financial-leverage-dfl-affect-earnings-share-eps.asp</w:t>
        </w:r>
      </w:hyperlink>
    </w:p>
    <w:sectPr w:rsidSect="00702664">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664" w:rsidRPr="0039168F" w14:paraId="6FF128B0" w14:textId="4ACCA0B7">
    <w:pPr>
      <w:pStyle w:val="Header"/>
    </w:pPr>
    <w:r w:rsidRPr="0039168F">
      <w:rPr>
        <w:rFonts w:ascii="Times New Roman" w:hAnsi="Times New Roman" w:cs="Times New Roman"/>
      </w:rPr>
      <w:t>QUESTION</w:t>
    </w:r>
    <w:r w:rsidRPr="0039168F" w:rsidR="00F1371E">
      <w:rPr>
        <w:rFonts w:ascii="Times New Roman" w:hAnsi="Times New Roman" w:cs="Times New Roman"/>
      </w:rPr>
      <w:t>-</w:t>
    </w:r>
    <w:r w:rsidRPr="0039168F">
      <w:rPr>
        <w:rFonts w:ascii="Times New Roman" w:hAnsi="Times New Roman" w:cs="Times New Roman"/>
      </w:rPr>
      <w:t xml:space="preserve">ANSWER ASSIGNMENT </w:t>
    </w:r>
    <w:r w:rsidRPr="0039168F">
      <w:rPr>
        <w:rFonts w:ascii="Times New Roman" w:hAnsi="Times New Roman" w:cs="Times New Roman"/>
      </w:rPr>
      <w:tab/>
    </w:r>
    <w:r w:rsidRPr="0039168F">
      <w:rPr>
        <w:rFonts w:ascii="Times New Roman" w:hAnsi="Times New Roman" w:cs="Times New Roman"/>
      </w:rPr>
      <w:tab/>
    </w:r>
    <w:r w:rsidRPr="0039168F">
      <w:rPr>
        <w:rFonts w:ascii="Times New Roman" w:hAnsi="Times New Roman" w:cs="Times New Roman"/>
      </w:rPr>
      <w:fldChar w:fldCharType="begin"/>
    </w:r>
    <w:r w:rsidRPr="0039168F">
      <w:rPr>
        <w:rFonts w:ascii="Times New Roman" w:hAnsi="Times New Roman" w:cs="Times New Roman"/>
      </w:rPr>
      <w:instrText xml:space="preserve"> PAGE   \* MERGEFORMAT </w:instrText>
    </w:r>
    <w:r w:rsidRPr="0039168F">
      <w:rPr>
        <w:rFonts w:ascii="Times New Roman" w:hAnsi="Times New Roman" w:cs="Times New Roman"/>
      </w:rPr>
      <w:fldChar w:fldCharType="separate"/>
    </w:r>
    <w:r w:rsidRPr="0039168F">
      <w:rPr>
        <w:rFonts w:ascii="Times New Roman" w:hAnsi="Times New Roman" w:cs="Times New Roman"/>
        <w:noProof/>
      </w:rPr>
      <w:t>6</w:t>
    </w:r>
    <w:r w:rsidRPr="0039168F">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664" w:rsidRPr="00FC70B7" w14:paraId="12EE9363" w14:textId="43F05E8B">
    <w:pPr>
      <w:pStyle w:val="Header"/>
      <w:rPr>
        <w:rFonts w:ascii="Times New Roman" w:hAnsi="Times New Roman" w:cs="Times New Roman"/>
      </w:rPr>
    </w:pPr>
    <w:r w:rsidRPr="00FC70B7">
      <w:rPr>
        <w:rFonts w:ascii="Times New Roman" w:hAnsi="Times New Roman" w:cs="Times New Roman"/>
      </w:rPr>
      <w:t>Running head: QUESTION</w:t>
    </w:r>
    <w:r w:rsidRPr="00FC70B7" w:rsidR="00FC70B7">
      <w:rPr>
        <w:rFonts w:ascii="Times New Roman" w:hAnsi="Times New Roman" w:cs="Times New Roman"/>
      </w:rPr>
      <w:t>-</w:t>
    </w:r>
    <w:r w:rsidRPr="00FC70B7">
      <w:rPr>
        <w:rFonts w:ascii="Times New Roman" w:hAnsi="Times New Roman" w:cs="Times New Roman"/>
      </w:rPr>
      <w:t>ANSWER ASSIGNMENT</w:t>
    </w:r>
    <w:r w:rsidRPr="00FC70B7">
      <w:rPr>
        <w:rFonts w:ascii="Times New Roman" w:hAnsi="Times New Roman" w:cs="Times New Roman"/>
      </w:rPr>
      <w:tab/>
    </w:r>
    <w:r w:rsidRPr="00FC70B7">
      <w:rPr>
        <w:rFonts w:ascii="Times New Roman" w:hAnsi="Times New Roman" w:cs="Times New Roman"/>
      </w:rPr>
      <w:fldChar w:fldCharType="begin"/>
    </w:r>
    <w:r w:rsidRPr="00FC70B7">
      <w:rPr>
        <w:rFonts w:ascii="Times New Roman" w:hAnsi="Times New Roman" w:cs="Times New Roman"/>
      </w:rPr>
      <w:instrText xml:space="preserve"> PAGE   \* MERGEFORMAT </w:instrText>
    </w:r>
    <w:r w:rsidRPr="00FC70B7">
      <w:rPr>
        <w:rFonts w:ascii="Times New Roman" w:hAnsi="Times New Roman" w:cs="Times New Roman"/>
      </w:rPr>
      <w:fldChar w:fldCharType="separate"/>
    </w:r>
    <w:r w:rsidRPr="00FC70B7">
      <w:rPr>
        <w:rFonts w:ascii="Times New Roman" w:hAnsi="Times New Roman" w:cs="Times New Roman"/>
        <w:noProof/>
      </w:rPr>
      <w:t>1</w:t>
    </w:r>
    <w:r w:rsidRPr="00FC70B7">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52241C0"/>
    <w:multiLevelType w:val="hybridMultilevel"/>
    <w:tmpl w:val="18780D4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D182F1B"/>
    <w:multiLevelType w:val="hybridMultilevel"/>
    <w:tmpl w:val="B568D2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50CDC"/>
    <w:rsid w:val="000E13D2"/>
    <w:rsid w:val="000E18D7"/>
    <w:rsid w:val="00270561"/>
    <w:rsid w:val="003513FF"/>
    <w:rsid w:val="0039168F"/>
    <w:rsid w:val="005D71B3"/>
    <w:rsid w:val="005F7A3D"/>
    <w:rsid w:val="006E35C6"/>
    <w:rsid w:val="00702664"/>
    <w:rsid w:val="007117C0"/>
    <w:rsid w:val="00756407"/>
    <w:rsid w:val="0079782C"/>
    <w:rsid w:val="00856045"/>
    <w:rsid w:val="00B46E5A"/>
    <w:rsid w:val="00BE682C"/>
    <w:rsid w:val="00C8386E"/>
    <w:rsid w:val="00CD0CF5"/>
    <w:rsid w:val="00DA6205"/>
    <w:rsid w:val="00E50CDC"/>
    <w:rsid w:val="00F1371E"/>
    <w:rsid w:val="00F65C6E"/>
    <w:rsid w:val="00FC70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5E26301-E143-49CF-ADB4-72BD62FCC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0CDC"/>
    <w:rPr>
      <w:color w:val="0000FF" w:themeColor="hyperlink"/>
      <w:u w:val="single"/>
    </w:rPr>
  </w:style>
  <w:style w:type="paragraph" w:styleId="ListParagraph">
    <w:name w:val="List Paragraph"/>
    <w:basedOn w:val="Normal"/>
    <w:uiPriority w:val="34"/>
    <w:qFormat/>
    <w:rsid w:val="00756407"/>
    <w:pPr>
      <w:ind w:left="720"/>
      <w:contextualSpacing/>
    </w:pPr>
  </w:style>
  <w:style w:type="paragraph" w:styleId="Header">
    <w:name w:val="header"/>
    <w:basedOn w:val="Normal"/>
    <w:link w:val="HeaderChar"/>
    <w:uiPriority w:val="99"/>
    <w:unhideWhenUsed/>
    <w:rsid w:val="00702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664"/>
  </w:style>
  <w:style w:type="paragraph" w:styleId="Footer">
    <w:name w:val="footer"/>
    <w:basedOn w:val="Normal"/>
    <w:link w:val="FooterChar"/>
    <w:uiPriority w:val="99"/>
    <w:unhideWhenUsed/>
    <w:rsid w:val="00702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vestopedia.com/ask/answers/032615/what-are-differences-between-weak-strong-and-semistrong-versions-efficient-market-hypothesis.asp" TargetMode="External" /><Relationship Id="rId5" Type="http://schemas.openxmlformats.org/officeDocument/2006/relationships/hyperlink" Target="https://www.investopedia.com/ask/answers/062215/how-does-degree-financial-leverage-dfl-affect-earnings-share-eps.as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6</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2018-12-08T07:49:00Z</dcterms:created>
  <dcterms:modified xsi:type="dcterms:W3CDTF">2018-12-08T17:15:00Z</dcterms:modified>
</cp:coreProperties>
</file>